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Шта представљају функционални апарат, историјски осврт?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значај израде конструкционог загрижаја.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Објснити теорије о неурофизиолошком дејству активатора.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фазе израде активатора.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индикације за примену активатора.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контраиндикације за примену активатора.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редуцирани активатор по Schmutu.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отворени активатор по Grudeu.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су регулатори функције и објаснити принципе њиховог деловања.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конструкцију и употребу регулатора функције типа FR I.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конструкцију и употребу регулатора функције типа FR II.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конструкцију и употребу регулатора функције типа FR III.</w:t>
      </w: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B5AFB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конструкцију и употребу регулатор</w:t>
      </w:r>
      <w:r>
        <w:rPr>
          <w:rFonts w:ascii="Times New Roman" w:hAnsi="Times New Roman" w:cs="Times New Roman"/>
          <w:sz w:val="24"/>
          <w:szCs w:val="24"/>
        </w:rPr>
        <w:t>а функције типа FR IV.</w:t>
      </w:r>
    </w:p>
    <w:sectPr w:rsidR="00000000">
      <w:pgSz w:w="11920" w:h="16845"/>
      <w:pgMar w:top="1432" w:right="2460" w:bottom="1440" w:left="1800" w:header="720" w:footer="720" w:gutter="0"/>
      <w:cols w:space="720" w:equalWidth="0">
        <w:col w:w="76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FB"/>
    <w:rsid w:val="00A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2015-05-19T08:03:00Z</dcterms:created>
  <dcterms:modified xsi:type="dcterms:W3CDTF">2015-05-19T08:03:00Z</dcterms:modified>
</cp:coreProperties>
</file>